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D26F34C" w:rsidR="00504270" w:rsidRPr="006574B8" w:rsidRDefault="00514F4C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17.02.2020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129-па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460E91BC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3C60" w:rsidRPr="00503C6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ешен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ием Думы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от 23.01.2020 № 456 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О внесении изменений и дополнений в решение Думы Михайловского муниципального района от 19.12.2019г. № 453 «Об утверждении районного бюджета Михайловского муниципального района на 2020 год и плановый период 2021 и 2022 годы»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3CC41632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119D63DC" w14:textId="77777777" w:rsidR="00503C60" w:rsidRDefault="003B7579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03C60" w:rsidSect="00503C60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Объемы и источники финансирования с разбивкой по годам </w:t>
      </w:r>
    </w:p>
    <w:p w14:paraId="00B243F0" w14:textId="77E7C5D5" w:rsidR="003B7579" w:rsidRDefault="003B7579" w:rsidP="00503C6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008F0BF4" w14:textId="64634595" w:rsidR="00503C60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223,2 тыс. руб</w:t>
            </w:r>
          </w:p>
          <w:p w14:paraId="72257DC7" w14:textId="54DB6A6F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531D04E5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тыс. руб.</w:t>
            </w:r>
          </w:p>
          <w:p w14:paraId="6F00B7F3" w14:textId="130A629E" w:rsidR="003B7579" w:rsidRPr="003B7579" w:rsidRDefault="003B7579" w:rsidP="00B70A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</w:tc>
      </w:tr>
    </w:tbl>
    <w:p w14:paraId="0DC80386" w14:textId="77777777" w:rsidR="00514F4C" w:rsidRDefault="00514F4C" w:rsidP="00074D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E7F3EC" w14:textId="4A508340" w:rsidR="004417F2" w:rsidRPr="00CE6301" w:rsidRDefault="00CE6301" w:rsidP="00074D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Программы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4D3BD3EA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0358ACCA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Саломай Е.А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B69693" w14:textId="7230B690" w:rsidR="0017752D" w:rsidRPr="00FE03BF" w:rsidRDefault="003B7579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4CAF8852" w14:textId="597DF446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503C60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442C40BD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514F4C">
        <w:rPr>
          <w:rFonts w:ascii="Times New Roman" w:hAnsi="Times New Roman"/>
          <w:b w:val="0"/>
          <w:color w:val="auto"/>
        </w:rPr>
        <w:t>17.02.2020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514F4C">
        <w:rPr>
          <w:rFonts w:ascii="Times New Roman" w:hAnsi="Times New Roman"/>
          <w:b w:val="0"/>
          <w:color w:val="auto"/>
        </w:rPr>
        <w:t>129-па</w:t>
      </w:r>
      <w:bookmarkStart w:id="0" w:name="_GoBack"/>
      <w:bookmarkEnd w:id="0"/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муниципальной антинаркотической программы и внесение в нее изменений и дополнений в соответствии со складывающейся 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ей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общественными организациями, занимающимися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54D06C80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круглых столов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, конкурсов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несовершеннолетних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0E26828F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КДН и ЗП; Управление по вопросам образования администрации ММР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направленных на профилактику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пропаганду здорового образа жизни, приуроченных к Международному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борьбы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незаконным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DBCDB7B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AF27996" w14:textId="1B94EBD7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лекций и бесед для родителей несовершеннолетних по проблемам наркомании. Показ тематических фильмов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учащимися общеобразовательных школ по темам «Твои права, подросток», «Законы, которые нас касаются». Показ тематических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молодежи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системы дополнительного образования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времяпровождения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F6C3748" w:rsidR="0075196E" w:rsidRPr="004417F2" w:rsidRDefault="005B68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23625E68" w:rsidR="0075196E" w:rsidRPr="00A01F7F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Управление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внут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ренней политики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привлечение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туриз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  <w:p w14:paraId="1B8B591A" w14:textId="5594C650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образова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Управление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внутренней политики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516524AF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Управление по вопросам образования;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сельских и школьных библиотеках тематических выставок литературы по вопросам профилактики наркомании и пропаганды здорового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0340E65F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культуры и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внутренней политики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наркотическими средствами и психотропными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общеобразовательных организациях по теме «Профилактика наркомании и пропаганде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6A0A9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КГБУЗ «Михайловская ЦРБ»</w:t>
            </w:r>
          </w:p>
          <w:p w14:paraId="132512C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здоров»,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FB9A5F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6299E9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5B64267" w14:textId="429EF67D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 учащихся школ на предмет выявления наркотических средств в биологиче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средах организма,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путем про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>ведения экспресс</w:t>
            </w:r>
            <w:r w:rsidR="00401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680" w:type="dxa"/>
            <w:shd w:val="clear" w:color="auto" w:fill="auto"/>
          </w:tcPr>
          <w:p w14:paraId="2C1E35C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E01A3E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FAA16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0D0DB76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376" w:type="dxa"/>
            <w:shd w:val="clear" w:color="auto" w:fill="auto"/>
          </w:tcPr>
          <w:p w14:paraId="6241572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566790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0201DE4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2779BD" w14:textId="7389437A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профилактических и диспансерных осмотров </w:t>
            </w:r>
            <w:r w:rsidR="00317247" w:rsidRPr="004417F2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лиц употребляющих наркотики </w:t>
            </w:r>
          </w:p>
        </w:tc>
        <w:tc>
          <w:tcPr>
            <w:tcW w:w="680" w:type="dxa"/>
            <w:shd w:val="clear" w:color="auto" w:fill="auto"/>
          </w:tcPr>
          <w:p w14:paraId="74760D3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E5003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46421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0561DC1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64574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  <w:p w14:paraId="01A4DE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D0A0B7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350E37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73DA14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260E49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680" w:type="dxa"/>
            <w:shd w:val="clear" w:color="auto" w:fill="auto"/>
          </w:tcPr>
          <w:p w14:paraId="2A2ED09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106341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608FF0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67EF5DB" w14:textId="7EE913D2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КГБУЗ «Михайлов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</w:tc>
        <w:tc>
          <w:tcPr>
            <w:tcW w:w="1376" w:type="dxa"/>
            <w:shd w:val="clear" w:color="auto" w:fill="auto"/>
          </w:tcPr>
          <w:p w14:paraId="7FAAB78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профилактической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25687F6E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инвентаря и спортивного оборудования, для проведения мероприятий направленных на пропаганду здорового образа жизни.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79B84C6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2496C0A2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комиссия,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0D8F8E16" w:rsid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503C60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316CE" w14:textId="77777777" w:rsidR="00923150" w:rsidRDefault="00923150" w:rsidP="00A156F7">
      <w:pPr>
        <w:spacing w:after="0" w:line="240" w:lineRule="auto"/>
      </w:pPr>
      <w:r>
        <w:separator/>
      </w:r>
    </w:p>
  </w:endnote>
  <w:endnote w:type="continuationSeparator" w:id="0">
    <w:p w14:paraId="5CD28BA6" w14:textId="77777777" w:rsidR="00923150" w:rsidRDefault="0092315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848F4" w14:textId="77777777" w:rsidR="00923150" w:rsidRDefault="00923150" w:rsidP="00A156F7">
      <w:pPr>
        <w:spacing w:after="0" w:line="240" w:lineRule="auto"/>
      </w:pPr>
      <w:r>
        <w:separator/>
      </w:r>
    </w:p>
  </w:footnote>
  <w:footnote w:type="continuationSeparator" w:id="0">
    <w:p w14:paraId="6339990A" w14:textId="77777777" w:rsidR="00923150" w:rsidRDefault="0092315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02235D1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C6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2C89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DAB"/>
    <w:rsid w:val="004221B1"/>
    <w:rsid w:val="004231DF"/>
    <w:rsid w:val="004417F2"/>
    <w:rsid w:val="00442AD0"/>
    <w:rsid w:val="00442E57"/>
    <w:rsid w:val="00450642"/>
    <w:rsid w:val="0046546D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14F4C"/>
    <w:rsid w:val="00521EA6"/>
    <w:rsid w:val="005235C7"/>
    <w:rsid w:val="0054351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617930"/>
    <w:rsid w:val="006312B9"/>
    <w:rsid w:val="006329AF"/>
    <w:rsid w:val="00640555"/>
    <w:rsid w:val="00651E62"/>
    <w:rsid w:val="006574B8"/>
    <w:rsid w:val="006A27B6"/>
    <w:rsid w:val="006D101D"/>
    <w:rsid w:val="006D17CF"/>
    <w:rsid w:val="006D7B65"/>
    <w:rsid w:val="006F1DD4"/>
    <w:rsid w:val="007167B6"/>
    <w:rsid w:val="007320A6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554CB"/>
    <w:rsid w:val="008E68F0"/>
    <w:rsid w:val="008F0C63"/>
    <w:rsid w:val="00923150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70A63"/>
    <w:rsid w:val="00B944C2"/>
    <w:rsid w:val="00C07073"/>
    <w:rsid w:val="00C14E89"/>
    <w:rsid w:val="00C16F35"/>
    <w:rsid w:val="00C248C2"/>
    <w:rsid w:val="00C33565"/>
    <w:rsid w:val="00CD012F"/>
    <w:rsid w:val="00CE6301"/>
    <w:rsid w:val="00D00379"/>
    <w:rsid w:val="00D67C52"/>
    <w:rsid w:val="00D756DF"/>
    <w:rsid w:val="00D94F69"/>
    <w:rsid w:val="00DA0780"/>
    <w:rsid w:val="00DC037A"/>
    <w:rsid w:val="00DD1301"/>
    <w:rsid w:val="00E37863"/>
    <w:rsid w:val="00E4582F"/>
    <w:rsid w:val="00E56115"/>
    <w:rsid w:val="00E9754F"/>
    <w:rsid w:val="00EC2741"/>
    <w:rsid w:val="00EC6BAF"/>
    <w:rsid w:val="00ED371F"/>
    <w:rsid w:val="00F304ED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  <w15:docId w15:val="{7664DF6D-7151-4E1B-9D90-D34CEF8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A887-C9CF-4CA5-AE30-0AA7FEF9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15</cp:revision>
  <cp:lastPrinted>2020-02-05T01:29:00Z</cp:lastPrinted>
  <dcterms:created xsi:type="dcterms:W3CDTF">2020-01-28T05:58:00Z</dcterms:created>
  <dcterms:modified xsi:type="dcterms:W3CDTF">2020-02-18T22:54:00Z</dcterms:modified>
</cp:coreProperties>
</file>